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580D" w14:textId="52587557" w:rsidR="00772D44" w:rsidRDefault="00882662">
      <w:pPr>
        <w:rPr>
          <w:b/>
          <w:sz w:val="28"/>
          <w:szCs w:val="28"/>
          <w:highlight w:val="yellow"/>
        </w:rPr>
      </w:pPr>
      <w:r>
        <w:rPr>
          <w:noProof/>
        </w:rPr>
        <w:drawing>
          <wp:inline distT="0" distB="0" distL="0" distR="0" wp14:anchorId="10A2F45C" wp14:editId="56851655">
            <wp:extent cx="1569720" cy="156972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sidR="002A21B6">
        <w:rPr>
          <w:b/>
          <w:i/>
          <w:noProof/>
          <w:sz w:val="28"/>
          <w:szCs w:val="28"/>
        </w:rPr>
        <w:drawing>
          <wp:inline distT="114300" distB="114300" distL="114300" distR="114300" wp14:anchorId="0034BC6E" wp14:editId="7C2AA7BF">
            <wp:extent cx="1492250" cy="13081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92731" cy="1308522"/>
                    </a:xfrm>
                    <a:prstGeom prst="rect">
                      <a:avLst/>
                    </a:prstGeom>
                    <a:ln/>
                  </pic:spPr>
                </pic:pic>
              </a:graphicData>
            </a:graphic>
          </wp:inline>
        </w:drawing>
      </w:r>
    </w:p>
    <w:p w14:paraId="2C77F171" w14:textId="77777777" w:rsidR="00967024" w:rsidRDefault="00967024">
      <w:pPr>
        <w:rPr>
          <w:b/>
          <w:sz w:val="28"/>
          <w:szCs w:val="28"/>
          <w:highlight w:val="yellow"/>
        </w:rPr>
      </w:pPr>
    </w:p>
    <w:p w14:paraId="07DA9D2E" w14:textId="2A2149A9" w:rsidR="00405F26" w:rsidRDefault="00405F26">
      <w:pPr>
        <w:jc w:val="center"/>
        <w:rPr>
          <w:b/>
          <w:sz w:val="26"/>
          <w:szCs w:val="26"/>
        </w:rPr>
      </w:pPr>
      <w:r>
        <w:rPr>
          <w:b/>
          <w:sz w:val="26"/>
          <w:szCs w:val="26"/>
        </w:rPr>
        <w:t xml:space="preserve">Communiqué de Presse </w:t>
      </w:r>
    </w:p>
    <w:p w14:paraId="0E5BD416" w14:textId="77777777" w:rsidR="00405F26" w:rsidRDefault="00405F26">
      <w:pPr>
        <w:jc w:val="center"/>
        <w:rPr>
          <w:b/>
          <w:sz w:val="26"/>
          <w:szCs w:val="26"/>
        </w:rPr>
      </w:pPr>
    </w:p>
    <w:p w14:paraId="4995A10C" w14:textId="58D4379F" w:rsidR="00772D44" w:rsidRDefault="00A6395D">
      <w:pPr>
        <w:jc w:val="center"/>
        <w:rPr>
          <w:b/>
          <w:sz w:val="26"/>
          <w:szCs w:val="26"/>
        </w:rPr>
      </w:pPr>
      <w:r>
        <w:rPr>
          <w:b/>
          <w:sz w:val="26"/>
          <w:szCs w:val="26"/>
        </w:rPr>
        <w:t>L’</w:t>
      </w:r>
      <w:proofErr w:type="spellStart"/>
      <w:r>
        <w:rPr>
          <w:b/>
          <w:sz w:val="26"/>
          <w:szCs w:val="26"/>
        </w:rPr>
        <w:t>AmCham</w:t>
      </w:r>
      <w:proofErr w:type="spellEnd"/>
      <w:r w:rsidR="00967024">
        <w:rPr>
          <w:b/>
          <w:sz w:val="26"/>
          <w:szCs w:val="26"/>
        </w:rPr>
        <w:t xml:space="preserve"> France</w:t>
      </w:r>
      <w:r w:rsidR="002A21B6">
        <w:rPr>
          <w:b/>
          <w:sz w:val="26"/>
          <w:szCs w:val="26"/>
        </w:rPr>
        <w:t xml:space="preserve"> </w:t>
      </w:r>
      <w:r>
        <w:rPr>
          <w:b/>
          <w:sz w:val="26"/>
          <w:szCs w:val="26"/>
        </w:rPr>
        <w:t xml:space="preserve">et l’ESSEC Business </w:t>
      </w:r>
      <w:proofErr w:type="spellStart"/>
      <w:r>
        <w:rPr>
          <w:b/>
          <w:sz w:val="26"/>
          <w:szCs w:val="26"/>
        </w:rPr>
        <w:t>School</w:t>
      </w:r>
      <w:proofErr w:type="spellEnd"/>
      <w:r>
        <w:rPr>
          <w:b/>
          <w:sz w:val="26"/>
          <w:szCs w:val="26"/>
        </w:rPr>
        <w:t xml:space="preserve"> </w:t>
      </w:r>
      <w:r w:rsidR="002A21B6">
        <w:rPr>
          <w:b/>
          <w:sz w:val="26"/>
          <w:szCs w:val="26"/>
        </w:rPr>
        <w:t xml:space="preserve">publient un Livre Blanc </w:t>
      </w:r>
    </w:p>
    <w:p w14:paraId="0C50174A" w14:textId="6066B39D" w:rsidR="00772D44" w:rsidRDefault="002A21B6">
      <w:pPr>
        <w:jc w:val="center"/>
        <w:rPr>
          <w:b/>
          <w:sz w:val="26"/>
          <w:szCs w:val="26"/>
        </w:rPr>
      </w:pPr>
      <w:proofErr w:type="gramStart"/>
      <w:r>
        <w:rPr>
          <w:b/>
          <w:sz w:val="26"/>
          <w:szCs w:val="26"/>
        </w:rPr>
        <w:t>sur</w:t>
      </w:r>
      <w:proofErr w:type="gramEnd"/>
      <w:r>
        <w:rPr>
          <w:b/>
          <w:sz w:val="26"/>
          <w:szCs w:val="26"/>
        </w:rPr>
        <w:t xml:space="preserve"> l’adoption responsable de l’IA </w:t>
      </w:r>
      <w:r w:rsidR="00967024">
        <w:rPr>
          <w:b/>
          <w:sz w:val="26"/>
          <w:szCs w:val="26"/>
        </w:rPr>
        <w:t>en entreprises</w:t>
      </w:r>
    </w:p>
    <w:p w14:paraId="779A38C3" w14:textId="77777777" w:rsidR="00772D44" w:rsidRDefault="00772D44">
      <w:pPr>
        <w:jc w:val="center"/>
        <w:rPr>
          <w:b/>
          <w:i/>
          <w:sz w:val="24"/>
          <w:szCs w:val="24"/>
        </w:rPr>
      </w:pPr>
    </w:p>
    <w:p w14:paraId="72808A98" w14:textId="77777777" w:rsidR="00772D44" w:rsidRDefault="00772D44">
      <w:pPr>
        <w:jc w:val="both"/>
        <w:rPr>
          <w:i/>
          <w:sz w:val="20"/>
          <w:szCs w:val="20"/>
        </w:rPr>
      </w:pPr>
    </w:p>
    <w:p w14:paraId="4851EFDD" w14:textId="28EF5C9C" w:rsidR="00772D44" w:rsidRDefault="002A21B6">
      <w:pPr>
        <w:jc w:val="both"/>
        <w:rPr>
          <w:sz w:val="20"/>
          <w:szCs w:val="20"/>
        </w:rPr>
      </w:pPr>
      <w:bookmarkStart w:id="0" w:name="_Hlk129612158"/>
      <w:r>
        <w:rPr>
          <w:i/>
          <w:sz w:val="20"/>
          <w:szCs w:val="20"/>
        </w:rPr>
        <w:t>Paris, le 1</w:t>
      </w:r>
      <w:r w:rsidR="00CF2C7C">
        <w:rPr>
          <w:i/>
          <w:sz w:val="20"/>
          <w:szCs w:val="20"/>
        </w:rPr>
        <w:t>4</w:t>
      </w:r>
      <w:r>
        <w:rPr>
          <w:i/>
          <w:sz w:val="20"/>
          <w:szCs w:val="20"/>
        </w:rPr>
        <w:t xml:space="preserve"> mars 2023</w:t>
      </w:r>
      <w:r>
        <w:rPr>
          <w:sz w:val="20"/>
          <w:szCs w:val="20"/>
        </w:rPr>
        <w:t xml:space="preserve"> </w:t>
      </w:r>
      <w:r w:rsidR="00967024">
        <w:rPr>
          <w:sz w:val="20"/>
          <w:szCs w:val="20"/>
        </w:rPr>
        <w:t>–</w:t>
      </w:r>
      <w:r>
        <w:rPr>
          <w:sz w:val="20"/>
          <w:szCs w:val="20"/>
        </w:rPr>
        <w:t xml:space="preserve"> </w:t>
      </w:r>
      <w:r w:rsidR="00967024">
        <w:rPr>
          <w:sz w:val="20"/>
          <w:szCs w:val="20"/>
        </w:rPr>
        <w:t xml:space="preserve">Conçu et rédigé </w:t>
      </w:r>
      <w:r>
        <w:rPr>
          <w:sz w:val="20"/>
          <w:szCs w:val="20"/>
        </w:rPr>
        <w:t xml:space="preserve">à l’initiative de </w:t>
      </w:r>
      <w:hyperlink r:id="rId9" w:history="1">
        <w:r w:rsidRPr="00260067">
          <w:rPr>
            <w:rStyle w:val="Lienhypertexte"/>
            <w:rFonts w:cs="Arial"/>
            <w:sz w:val="20"/>
            <w:szCs w:val="20"/>
          </w:rPr>
          <w:t>l’</w:t>
        </w:r>
        <w:proofErr w:type="spellStart"/>
        <w:r w:rsidRPr="00260067">
          <w:rPr>
            <w:rStyle w:val="Lienhypertexte"/>
            <w:rFonts w:cs="Arial"/>
            <w:sz w:val="20"/>
            <w:szCs w:val="20"/>
          </w:rPr>
          <w:t>AmCham</w:t>
        </w:r>
        <w:proofErr w:type="spellEnd"/>
        <w:r w:rsidR="00967024" w:rsidRPr="00260067">
          <w:rPr>
            <w:rStyle w:val="Lienhypertexte"/>
            <w:rFonts w:cs="Arial"/>
            <w:sz w:val="20"/>
            <w:szCs w:val="20"/>
          </w:rPr>
          <w:t xml:space="preserve"> France</w:t>
        </w:r>
      </w:hyperlink>
      <w:r>
        <w:rPr>
          <w:sz w:val="20"/>
          <w:szCs w:val="20"/>
        </w:rPr>
        <w:t xml:space="preserve"> et de l’</w:t>
      </w:r>
      <w:hyperlink r:id="rId10">
        <w:r>
          <w:rPr>
            <w:color w:val="1155CC"/>
            <w:sz w:val="20"/>
            <w:szCs w:val="20"/>
            <w:u w:val="single"/>
          </w:rPr>
          <w:t xml:space="preserve">ESSEC </w:t>
        </w:r>
        <w:proofErr w:type="spellStart"/>
        <w:r>
          <w:rPr>
            <w:color w:val="1155CC"/>
            <w:sz w:val="20"/>
            <w:szCs w:val="20"/>
            <w:u w:val="single"/>
          </w:rPr>
          <w:t>Metalab</w:t>
        </w:r>
        <w:proofErr w:type="spellEnd"/>
        <w:r>
          <w:rPr>
            <w:color w:val="1155CC"/>
            <w:sz w:val="20"/>
            <w:szCs w:val="20"/>
            <w:u w:val="single"/>
          </w:rPr>
          <w:t xml:space="preserve"> for Data, </w:t>
        </w:r>
        <w:proofErr w:type="spellStart"/>
        <w:r>
          <w:rPr>
            <w:color w:val="1155CC"/>
            <w:sz w:val="20"/>
            <w:szCs w:val="20"/>
            <w:u w:val="single"/>
          </w:rPr>
          <w:t>Technology</w:t>
        </w:r>
        <w:proofErr w:type="spellEnd"/>
        <w:r>
          <w:rPr>
            <w:color w:val="1155CC"/>
            <w:sz w:val="20"/>
            <w:szCs w:val="20"/>
            <w:u w:val="single"/>
          </w:rPr>
          <w:t xml:space="preserve"> &amp; Society</w:t>
        </w:r>
      </w:hyperlink>
      <w:r>
        <w:rPr>
          <w:sz w:val="20"/>
          <w:szCs w:val="20"/>
        </w:rPr>
        <w:t>, ce Livre Blanc est le fruit de huit mois de travaux entre praticiens de l'IA, membres de l’</w:t>
      </w:r>
      <w:proofErr w:type="spellStart"/>
      <w:r>
        <w:rPr>
          <w:sz w:val="20"/>
          <w:szCs w:val="20"/>
        </w:rPr>
        <w:t>AmCham</w:t>
      </w:r>
      <w:proofErr w:type="spellEnd"/>
      <w:r>
        <w:rPr>
          <w:sz w:val="20"/>
          <w:szCs w:val="20"/>
        </w:rPr>
        <w:t xml:space="preserve"> et représentants académiques. Il </w:t>
      </w:r>
      <w:r w:rsidR="00967024">
        <w:rPr>
          <w:sz w:val="20"/>
          <w:szCs w:val="20"/>
        </w:rPr>
        <w:t xml:space="preserve">propose </w:t>
      </w:r>
      <w:r>
        <w:rPr>
          <w:sz w:val="20"/>
          <w:szCs w:val="20"/>
        </w:rPr>
        <w:t>des réflexions, des enseignements</w:t>
      </w:r>
      <w:r w:rsidR="00967024">
        <w:rPr>
          <w:sz w:val="20"/>
          <w:szCs w:val="20"/>
        </w:rPr>
        <w:t xml:space="preserve"> clairs</w:t>
      </w:r>
      <w:r>
        <w:rPr>
          <w:sz w:val="20"/>
          <w:szCs w:val="20"/>
        </w:rPr>
        <w:t>, et des recommandations</w:t>
      </w:r>
      <w:r w:rsidR="00967024">
        <w:rPr>
          <w:sz w:val="20"/>
          <w:szCs w:val="20"/>
        </w:rPr>
        <w:t xml:space="preserve"> concrètes </w:t>
      </w:r>
      <w:r>
        <w:rPr>
          <w:sz w:val="20"/>
          <w:szCs w:val="20"/>
        </w:rPr>
        <w:t>aux dirigeants d’ETI françaises</w:t>
      </w:r>
      <w:r w:rsidR="00967024">
        <w:rPr>
          <w:sz w:val="20"/>
          <w:szCs w:val="20"/>
        </w:rPr>
        <w:t xml:space="preserve"> </w:t>
      </w:r>
      <w:r>
        <w:rPr>
          <w:sz w:val="20"/>
          <w:szCs w:val="20"/>
        </w:rPr>
        <w:t>autour d’un enjeu économique majeur : l'accélération de l'adoption de l’IA pour gagner en compétitivité.</w:t>
      </w:r>
    </w:p>
    <w:p w14:paraId="0A6BDADD" w14:textId="40BF33E6" w:rsidR="00772D44" w:rsidRDefault="00967024">
      <w:pPr>
        <w:shd w:val="clear" w:color="auto" w:fill="FFFFFF"/>
        <w:spacing w:before="240" w:after="300"/>
        <w:jc w:val="both"/>
        <w:rPr>
          <w:b/>
          <w:sz w:val="20"/>
          <w:szCs w:val="20"/>
        </w:rPr>
      </w:pPr>
      <w:r>
        <w:rPr>
          <w:sz w:val="20"/>
          <w:szCs w:val="20"/>
        </w:rPr>
        <w:t>Cette publication met en avant</w:t>
      </w:r>
      <w:r w:rsidR="002A21B6">
        <w:rPr>
          <w:sz w:val="20"/>
          <w:szCs w:val="20"/>
        </w:rPr>
        <w:t xml:space="preserve"> les principaux freins au développement de l’IA en entreprise et propose des outils et leviers pour les surmonter et s’engager dans une stratégie </w:t>
      </w:r>
      <w:r>
        <w:rPr>
          <w:sz w:val="20"/>
          <w:szCs w:val="20"/>
        </w:rPr>
        <w:t>d’</w:t>
      </w:r>
      <w:r w:rsidR="002A21B6">
        <w:rPr>
          <w:sz w:val="20"/>
          <w:szCs w:val="20"/>
        </w:rPr>
        <w:t>IA responsable</w:t>
      </w:r>
      <w:r>
        <w:rPr>
          <w:sz w:val="20"/>
          <w:szCs w:val="20"/>
        </w:rPr>
        <w:t xml:space="preserve">, adaptée aux </w:t>
      </w:r>
      <w:proofErr w:type="gramStart"/>
      <w:r>
        <w:rPr>
          <w:sz w:val="20"/>
          <w:szCs w:val="20"/>
        </w:rPr>
        <w:t>spécificités</w:t>
      </w:r>
      <w:proofErr w:type="gramEnd"/>
      <w:r>
        <w:rPr>
          <w:sz w:val="20"/>
          <w:szCs w:val="20"/>
        </w:rPr>
        <w:t xml:space="preserve"> des organisations</w:t>
      </w:r>
      <w:r w:rsidR="002A21B6">
        <w:rPr>
          <w:sz w:val="20"/>
          <w:szCs w:val="20"/>
        </w:rPr>
        <w:t xml:space="preserve"> et centrée sur la performance.</w:t>
      </w:r>
    </w:p>
    <w:p w14:paraId="66B80123" w14:textId="1AFEBF6C" w:rsidR="00772D44" w:rsidRDefault="00967024">
      <w:pPr>
        <w:pStyle w:val="Titre4"/>
        <w:keepNext w:val="0"/>
        <w:keepLines w:val="0"/>
        <w:shd w:val="clear" w:color="auto" w:fill="FFFFFF"/>
        <w:spacing w:before="240" w:after="40"/>
        <w:jc w:val="both"/>
        <w:rPr>
          <w:b/>
          <w:color w:val="000000"/>
          <w:sz w:val="20"/>
          <w:szCs w:val="20"/>
        </w:rPr>
      </w:pPr>
      <w:bookmarkStart w:id="1" w:name="_heading=h.qz5f4hcq28y4" w:colFirst="0" w:colLast="0"/>
      <w:bookmarkEnd w:id="0"/>
      <w:bookmarkEnd w:id="1"/>
      <w:r>
        <w:rPr>
          <w:b/>
          <w:color w:val="000000"/>
          <w:sz w:val="20"/>
          <w:szCs w:val="20"/>
        </w:rPr>
        <w:t>Difficulté d’a</w:t>
      </w:r>
      <w:r w:rsidR="002A21B6">
        <w:rPr>
          <w:b/>
          <w:color w:val="000000"/>
          <w:sz w:val="20"/>
          <w:szCs w:val="20"/>
        </w:rPr>
        <w:t>doption de l’IA en entreprise</w:t>
      </w:r>
      <w:r w:rsidR="00882662">
        <w:rPr>
          <w:b/>
          <w:color w:val="000000"/>
          <w:sz w:val="20"/>
          <w:szCs w:val="20"/>
        </w:rPr>
        <w:t xml:space="preserve"> </w:t>
      </w:r>
      <w:r w:rsidR="002A21B6">
        <w:rPr>
          <w:b/>
          <w:color w:val="000000"/>
          <w:sz w:val="20"/>
          <w:szCs w:val="20"/>
        </w:rPr>
        <w:t>:</w:t>
      </w:r>
      <w:r w:rsidR="00882662">
        <w:rPr>
          <w:b/>
          <w:color w:val="000000"/>
          <w:sz w:val="20"/>
          <w:szCs w:val="20"/>
        </w:rPr>
        <w:t xml:space="preserve"> </w:t>
      </w:r>
      <w:r w:rsidR="002A21B6">
        <w:rPr>
          <w:b/>
          <w:color w:val="000000"/>
          <w:sz w:val="20"/>
          <w:szCs w:val="20"/>
        </w:rPr>
        <w:t>frein à la compétitivité</w:t>
      </w:r>
    </w:p>
    <w:p w14:paraId="3C10860A" w14:textId="77777777" w:rsidR="00772D44" w:rsidRDefault="00772D44"/>
    <w:p w14:paraId="60F2FDCE" w14:textId="415E9D0A" w:rsidR="00772D44" w:rsidRDefault="002A21B6">
      <w:pPr>
        <w:jc w:val="both"/>
        <w:rPr>
          <w:sz w:val="20"/>
          <w:szCs w:val="20"/>
        </w:rPr>
      </w:pPr>
      <w:bookmarkStart w:id="2" w:name="_Hlk129612192"/>
      <w:r>
        <w:rPr>
          <w:sz w:val="20"/>
          <w:szCs w:val="20"/>
        </w:rPr>
        <w:t>L'Europe est à la traîne par rapport à d'autres régions en ce qui concerne l'adoption et le développement de l'IA. Selon un récent rapport de l'OCDE</w:t>
      </w:r>
      <w:r>
        <w:rPr>
          <w:sz w:val="20"/>
          <w:szCs w:val="20"/>
          <w:vertAlign w:val="superscript"/>
        </w:rPr>
        <w:footnoteReference w:id="1"/>
      </w:r>
      <w:r>
        <w:rPr>
          <w:sz w:val="20"/>
          <w:szCs w:val="20"/>
        </w:rPr>
        <w:t>, en Europe</w:t>
      </w:r>
      <w:r w:rsidR="00882662">
        <w:rPr>
          <w:sz w:val="20"/>
          <w:szCs w:val="20"/>
        </w:rPr>
        <w:t>,</w:t>
      </w:r>
      <w:r>
        <w:rPr>
          <w:sz w:val="20"/>
          <w:szCs w:val="20"/>
        </w:rPr>
        <w:t xml:space="preserve"> les</w:t>
      </w:r>
      <w:r w:rsidR="00967024">
        <w:rPr>
          <w:sz w:val="20"/>
          <w:szCs w:val="20"/>
        </w:rPr>
        <w:t xml:space="preserve"> PME et</w:t>
      </w:r>
      <w:r>
        <w:rPr>
          <w:sz w:val="20"/>
          <w:szCs w:val="20"/>
        </w:rPr>
        <w:t xml:space="preserve"> ETI sont confrontées à de nombreux obstacles qui freinent l'adoption de l’IA, alors même que celle-ci peut contribuer de manière significative à l</w:t>
      </w:r>
      <w:r w:rsidR="00967024">
        <w:rPr>
          <w:sz w:val="20"/>
          <w:szCs w:val="20"/>
        </w:rPr>
        <w:t>eur</w:t>
      </w:r>
      <w:r>
        <w:rPr>
          <w:sz w:val="20"/>
          <w:szCs w:val="20"/>
        </w:rPr>
        <w:t xml:space="preserve"> compétitivité et à l</w:t>
      </w:r>
      <w:r w:rsidR="00967024">
        <w:rPr>
          <w:sz w:val="20"/>
          <w:szCs w:val="20"/>
        </w:rPr>
        <w:t>eur</w:t>
      </w:r>
      <w:r>
        <w:rPr>
          <w:sz w:val="20"/>
          <w:szCs w:val="20"/>
        </w:rPr>
        <w:t xml:space="preserve"> croissance économique. </w:t>
      </w:r>
    </w:p>
    <w:bookmarkEnd w:id="2"/>
    <w:p w14:paraId="64FFAF4F" w14:textId="2E39B5CF" w:rsidR="00772D44" w:rsidRDefault="002A21B6">
      <w:pPr>
        <w:spacing w:before="240" w:after="240"/>
        <w:jc w:val="both"/>
        <w:rPr>
          <w:b/>
        </w:rPr>
      </w:pPr>
      <w:r>
        <w:rPr>
          <w:sz w:val="20"/>
          <w:szCs w:val="20"/>
        </w:rPr>
        <w:t xml:space="preserve">Ces obstacles </w:t>
      </w:r>
      <w:r w:rsidR="00967024">
        <w:rPr>
          <w:sz w:val="20"/>
          <w:szCs w:val="20"/>
        </w:rPr>
        <w:t>sembl</w:t>
      </w:r>
      <w:r>
        <w:rPr>
          <w:sz w:val="20"/>
          <w:szCs w:val="20"/>
        </w:rPr>
        <w:t xml:space="preserve">ent plus prononcés en France, où les ETI emploient près de 25% des salariés, réalisent 30 % du chiffre d'affaires, 29 % des investissements et 26 % de la valeur ajoutée de l'ensemble des entreprises. </w:t>
      </w:r>
      <w:r w:rsidR="00967024">
        <w:rPr>
          <w:sz w:val="20"/>
          <w:szCs w:val="20"/>
        </w:rPr>
        <w:t>Si elles peinent à prendre le train de la transformation digitale (manque de moyens, culture d’entreprise, manque de profils…)</w:t>
      </w:r>
      <w:r w:rsidR="005651BA">
        <w:rPr>
          <w:sz w:val="20"/>
          <w:szCs w:val="20"/>
        </w:rPr>
        <w:t>,</w:t>
      </w:r>
      <w:r w:rsidR="00854E40">
        <w:rPr>
          <w:sz w:val="20"/>
          <w:szCs w:val="20"/>
        </w:rPr>
        <w:t xml:space="preserve"> </w:t>
      </w:r>
      <w:r w:rsidR="005651BA">
        <w:rPr>
          <w:sz w:val="20"/>
          <w:szCs w:val="20"/>
        </w:rPr>
        <w:t>e</w:t>
      </w:r>
      <w:r>
        <w:rPr>
          <w:sz w:val="20"/>
          <w:szCs w:val="20"/>
        </w:rPr>
        <w:t xml:space="preserve">lles disposent </w:t>
      </w:r>
      <w:r w:rsidR="00882662">
        <w:rPr>
          <w:sz w:val="20"/>
          <w:szCs w:val="20"/>
        </w:rPr>
        <w:t>également</w:t>
      </w:r>
      <w:r>
        <w:rPr>
          <w:sz w:val="20"/>
          <w:szCs w:val="20"/>
        </w:rPr>
        <w:t xml:space="preserve"> </w:t>
      </w:r>
      <w:r w:rsidR="00967024">
        <w:rPr>
          <w:sz w:val="20"/>
          <w:szCs w:val="20"/>
        </w:rPr>
        <w:t xml:space="preserve">plus difficilement </w:t>
      </w:r>
      <w:r>
        <w:rPr>
          <w:sz w:val="20"/>
          <w:szCs w:val="20"/>
        </w:rPr>
        <w:t xml:space="preserve">de talents qualifiés en matière d'IA et de sciences des données par rapport à la moyenne européenne, bien que la France accueille environ 12 % des compétences disponibles en matière d'IA en Europe. </w:t>
      </w:r>
    </w:p>
    <w:p w14:paraId="3FF563FC" w14:textId="1E8DF652" w:rsidR="00772D44" w:rsidRDefault="00967024">
      <w:pPr>
        <w:jc w:val="both"/>
        <w:rPr>
          <w:sz w:val="20"/>
          <w:szCs w:val="20"/>
        </w:rPr>
      </w:pPr>
      <w:bookmarkStart w:id="3" w:name="_Hlk129612206"/>
      <w:r>
        <w:rPr>
          <w:sz w:val="20"/>
          <w:szCs w:val="20"/>
        </w:rPr>
        <w:t>On sait aujourd’hui que</w:t>
      </w:r>
      <w:r w:rsidR="002A21B6">
        <w:rPr>
          <w:sz w:val="20"/>
          <w:szCs w:val="20"/>
        </w:rPr>
        <w:t xml:space="preserve"> près de 30% des activités des entreprises seront automatisées et transformées par l’IA d’ici 2030 dans tous les secteurs avec des gains de productivité très significatifs</w:t>
      </w:r>
      <w:r w:rsidR="002A21B6">
        <w:rPr>
          <w:sz w:val="20"/>
          <w:szCs w:val="20"/>
          <w:vertAlign w:val="superscript"/>
        </w:rPr>
        <w:footnoteReference w:id="2"/>
      </w:r>
      <w:r w:rsidR="002A21B6">
        <w:rPr>
          <w:sz w:val="20"/>
          <w:szCs w:val="20"/>
        </w:rPr>
        <w:t xml:space="preserve">. </w:t>
      </w:r>
    </w:p>
    <w:bookmarkEnd w:id="3"/>
    <w:p w14:paraId="44097ECE" w14:textId="77777777" w:rsidR="00772D44" w:rsidRDefault="00772D44">
      <w:pPr>
        <w:jc w:val="both"/>
        <w:rPr>
          <w:sz w:val="20"/>
          <w:szCs w:val="20"/>
        </w:rPr>
      </w:pPr>
    </w:p>
    <w:p w14:paraId="3B5290E2" w14:textId="77777777" w:rsidR="00772D44" w:rsidRDefault="002A21B6">
      <w:pPr>
        <w:jc w:val="both"/>
        <w:rPr>
          <w:sz w:val="20"/>
          <w:szCs w:val="20"/>
        </w:rPr>
      </w:pPr>
      <w:r>
        <w:rPr>
          <w:sz w:val="20"/>
          <w:szCs w:val="20"/>
        </w:rPr>
        <w:t>“</w:t>
      </w:r>
      <w:r>
        <w:rPr>
          <w:i/>
          <w:sz w:val="20"/>
          <w:szCs w:val="20"/>
        </w:rPr>
        <w:t xml:space="preserve">Dans le paysage technologique de l'IA qui évolue rapidement, il est donc essentiel que les ETI françaises comprennent bien le potentiel de l'IA, mais aussi les conséquences qu’elles devront supporter si elles ne franchissent pas le pas de l’adoption. Si elles n'intègrent pas l'IA, les ETI françaises </w:t>
      </w:r>
      <w:r>
        <w:rPr>
          <w:i/>
          <w:sz w:val="20"/>
          <w:szCs w:val="20"/>
        </w:rPr>
        <w:lastRenderedPageBreak/>
        <w:t>risquent d'être distancées et de perdre leur avantage concurrentiel</w:t>
      </w:r>
      <w:r>
        <w:rPr>
          <w:sz w:val="20"/>
          <w:szCs w:val="20"/>
        </w:rPr>
        <w:t xml:space="preserve">.” explique Benoît Bergeret, co-auteur du livre blanc et co-directeur exécutif du </w:t>
      </w:r>
      <w:proofErr w:type="spellStart"/>
      <w:r>
        <w:rPr>
          <w:sz w:val="20"/>
          <w:szCs w:val="20"/>
        </w:rPr>
        <w:t>Metalab</w:t>
      </w:r>
      <w:proofErr w:type="spellEnd"/>
      <w:r>
        <w:rPr>
          <w:sz w:val="20"/>
          <w:szCs w:val="20"/>
        </w:rPr>
        <w:t>.</w:t>
      </w:r>
    </w:p>
    <w:p w14:paraId="698D0517" w14:textId="03959A49" w:rsidR="00772D44" w:rsidRDefault="002A21B6">
      <w:pPr>
        <w:spacing w:before="240" w:after="240"/>
        <w:jc w:val="both"/>
        <w:rPr>
          <w:b/>
          <w:sz w:val="20"/>
          <w:szCs w:val="20"/>
        </w:rPr>
      </w:pPr>
      <w:r>
        <w:rPr>
          <w:b/>
          <w:sz w:val="20"/>
          <w:szCs w:val="20"/>
        </w:rPr>
        <w:t>La transformation par l’IA</w:t>
      </w:r>
      <w:r w:rsidR="00967024">
        <w:rPr>
          <w:b/>
          <w:sz w:val="20"/>
          <w:szCs w:val="20"/>
        </w:rPr>
        <w:t> : un</w:t>
      </w:r>
      <w:r>
        <w:rPr>
          <w:b/>
          <w:sz w:val="20"/>
          <w:szCs w:val="20"/>
        </w:rPr>
        <w:t xml:space="preserve"> objectif collectif d’entreprise</w:t>
      </w:r>
    </w:p>
    <w:p w14:paraId="62093F23" w14:textId="1F709A4F" w:rsidR="00772D44" w:rsidRDefault="002A21B6">
      <w:pPr>
        <w:spacing w:before="240" w:after="240"/>
        <w:jc w:val="both"/>
        <w:rPr>
          <w:sz w:val="20"/>
          <w:szCs w:val="20"/>
        </w:rPr>
      </w:pPr>
      <w:r>
        <w:rPr>
          <w:sz w:val="20"/>
          <w:szCs w:val="20"/>
        </w:rPr>
        <w:t xml:space="preserve">Les chefs d'entreprise doivent anticiper l'impact de l'IA et impliquer toutes les parties prenantes dans le processus. Les ETI qui ne l’ont pas encore fait doivent établir en premier lieu </w:t>
      </w:r>
      <w:r>
        <w:rPr>
          <w:b/>
          <w:sz w:val="20"/>
          <w:szCs w:val="20"/>
        </w:rPr>
        <w:t>une vision stratégique claire et complète du déploiement de l'IA</w:t>
      </w:r>
      <w:r>
        <w:rPr>
          <w:sz w:val="20"/>
          <w:szCs w:val="20"/>
        </w:rPr>
        <w:t>, tout en minimisant les risques associés à son adoption. Ensuite, l’adoption de l’IA nécessite une planification minutieuse, la prise en compte de facteurs humains complexes, une gouvernance des données ambitieuse et adaptée, l’établissement et le développement de la confiance dans les systèmes d'IA, et une mise en œuvre responsable, éthique et respectueuse de l'environnement.</w:t>
      </w:r>
    </w:p>
    <w:p w14:paraId="1B53B973" w14:textId="30359F9C" w:rsidR="00DF17B7" w:rsidRDefault="00DF17B7" w:rsidP="00DF17B7">
      <w:pPr>
        <w:spacing w:before="240" w:after="240"/>
        <w:jc w:val="both"/>
        <w:rPr>
          <w:sz w:val="20"/>
          <w:szCs w:val="20"/>
        </w:rPr>
      </w:pPr>
      <w:r>
        <w:rPr>
          <w:sz w:val="20"/>
          <w:szCs w:val="20"/>
        </w:rPr>
        <w:t xml:space="preserve">Un des leviers clés de l’adoption de l’IA réside dans </w:t>
      </w:r>
      <w:r>
        <w:rPr>
          <w:b/>
          <w:sz w:val="20"/>
          <w:szCs w:val="20"/>
        </w:rPr>
        <w:t>les expertises de l’entreprise</w:t>
      </w:r>
      <w:r>
        <w:rPr>
          <w:sz w:val="20"/>
          <w:szCs w:val="20"/>
        </w:rPr>
        <w:t>. Cependant, les entreprises qui souhaitent adopter l'IA sont confrontées à une grave pénurie de compétences. Pour les entreprises à faible maturité en matière d'IA, cette pénurie de profils est significative : le marché ne peut fournir que 40% des besoins des entreprises. Or, la formation de professionnels hautement qualifiés prend beaucoup de temps. Dans ce contexte, le perfectionnement et la requalification des employés peuvent fournir aux entreprises un levier immédiat pour entamer le processus d'adoption de l'IA.</w:t>
      </w:r>
    </w:p>
    <w:p w14:paraId="6E71C399" w14:textId="77777777" w:rsidR="00772D44" w:rsidRDefault="002A21B6">
      <w:pPr>
        <w:pBdr>
          <w:top w:val="nil"/>
          <w:left w:val="nil"/>
          <w:bottom w:val="nil"/>
          <w:right w:val="nil"/>
          <w:between w:val="nil"/>
        </w:pBdr>
        <w:spacing w:line="240" w:lineRule="auto"/>
        <w:jc w:val="both"/>
        <w:rPr>
          <w:sz w:val="20"/>
          <w:szCs w:val="20"/>
        </w:rPr>
      </w:pPr>
      <w:r>
        <w:rPr>
          <w:sz w:val="20"/>
          <w:szCs w:val="20"/>
        </w:rPr>
        <w:t>“</w:t>
      </w:r>
      <w:r>
        <w:rPr>
          <w:i/>
          <w:sz w:val="20"/>
          <w:szCs w:val="20"/>
        </w:rPr>
        <w:t>Pour mener à bien leur transformation par l’IA, les entreprises doivent diversifier leur recrutement, travailler à l'amélioration des compétences du personnel et à sa fidélisation, former les cadres à la maîtrise des données, et envisager de déployer des outils à faible codage ou sans codage pour les cas d'utilisation simples de l'IA</w:t>
      </w:r>
      <w:r>
        <w:rPr>
          <w:sz w:val="20"/>
          <w:szCs w:val="20"/>
        </w:rPr>
        <w:t xml:space="preserve">”, commente Julien Malaurent, co-auteur du livre blanc et co-directeur académique du </w:t>
      </w:r>
      <w:proofErr w:type="spellStart"/>
      <w:r>
        <w:rPr>
          <w:sz w:val="20"/>
          <w:szCs w:val="20"/>
        </w:rPr>
        <w:t>Metalab</w:t>
      </w:r>
      <w:proofErr w:type="spellEnd"/>
      <w:r>
        <w:rPr>
          <w:sz w:val="20"/>
          <w:szCs w:val="20"/>
        </w:rPr>
        <w:t>. Il poursuit : “</w:t>
      </w:r>
      <w:r>
        <w:rPr>
          <w:i/>
          <w:sz w:val="20"/>
          <w:szCs w:val="20"/>
        </w:rPr>
        <w:t>L’ESSEC s’est engagée depuis plusieurs années dans cette voie, avec pour objectif stratégique de faire de tous diplômés de l’ESSEC de futurs dirigeants prêts pour l’IA. Car c’est par l’association de cadres au sein d’équipes hybrides qu’un chemin vers l’IA productive et bénéfique sera trouvé le plus facilement.</w:t>
      </w:r>
      <w:r>
        <w:rPr>
          <w:sz w:val="20"/>
          <w:szCs w:val="20"/>
        </w:rPr>
        <w:t xml:space="preserve">” </w:t>
      </w:r>
    </w:p>
    <w:p w14:paraId="1D69C96F" w14:textId="77777777" w:rsidR="00772D44" w:rsidRDefault="002A21B6">
      <w:pPr>
        <w:spacing w:before="240" w:after="240"/>
        <w:jc w:val="both"/>
        <w:rPr>
          <w:b/>
          <w:sz w:val="20"/>
          <w:szCs w:val="20"/>
        </w:rPr>
      </w:pPr>
      <w:r>
        <w:rPr>
          <w:b/>
          <w:sz w:val="20"/>
          <w:szCs w:val="20"/>
        </w:rPr>
        <w:t>Une publication en ligne avec les priorités de la Stratégie Nationale pour l’Intelligence Artificielle</w:t>
      </w:r>
    </w:p>
    <w:p w14:paraId="6305382C" w14:textId="57F79B88" w:rsidR="00DF17B7" w:rsidRDefault="00DF17B7" w:rsidP="00DF17B7">
      <w:pPr>
        <w:jc w:val="both"/>
        <w:rPr>
          <w:b/>
          <w:sz w:val="20"/>
          <w:szCs w:val="20"/>
        </w:rPr>
      </w:pPr>
      <w:r>
        <w:rPr>
          <w:sz w:val="20"/>
          <w:szCs w:val="20"/>
        </w:rPr>
        <w:t xml:space="preserve">Ces travaux s’inscrivent au cœur des préoccupations visées </w:t>
      </w:r>
      <w:r w:rsidR="005651BA">
        <w:rPr>
          <w:sz w:val="20"/>
          <w:szCs w:val="20"/>
        </w:rPr>
        <w:t>dans la</w:t>
      </w:r>
      <w:r>
        <w:rPr>
          <w:sz w:val="20"/>
          <w:szCs w:val="20"/>
        </w:rPr>
        <w:t xml:space="preserve"> </w:t>
      </w:r>
      <w:r>
        <w:rPr>
          <w:i/>
          <w:iCs/>
          <w:sz w:val="20"/>
          <w:szCs w:val="20"/>
        </w:rPr>
        <w:t>Stratégie Nationale pour l’Intelligence Artificielle (SNIA),</w:t>
      </w:r>
      <w:r>
        <w:rPr>
          <w:sz w:val="20"/>
          <w:szCs w:val="20"/>
        </w:rPr>
        <w:t xml:space="preserve"> ainsi que dans la lignée de la Stratégie “</w:t>
      </w:r>
      <w:r>
        <w:rPr>
          <w:i/>
          <w:iCs/>
          <w:sz w:val="20"/>
          <w:szCs w:val="20"/>
        </w:rPr>
        <w:t>Nation ETI</w:t>
      </w:r>
      <w:r>
        <w:rPr>
          <w:sz w:val="20"/>
          <w:szCs w:val="20"/>
        </w:rPr>
        <w:t xml:space="preserve">” du Ministère de l’Economie. La seconde vague comprend deux volets : (1) la massification de la formation de talents en IA, et (2) l’accélération de la diffusion de l’IA dans l'économie. </w:t>
      </w:r>
    </w:p>
    <w:p w14:paraId="3C82B473" w14:textId="77777777" w:rsidR="00564FFB" w:rsidRDefault="00101B6C" w:rsidP="00DF17B7">
      <w:pPr>
        <w:spacing w:before="240" w:after="240"/>
        <w:jc w:val="both"/>
        <w:rPr>
          <w:sz w:val="20"/>
          <w:szCs w:val="20"/>
        </w:rPr>
      </w:pPr>
      <w:r w:rsidRPr="00101B6C">
        <w:rPr>
          <w:sz w:val="20"/>
          <w:szCs w:val="20"/>
        </w:rPr>
        <w:t>« </w:t>
      </w:r>
      <w:r w:rsidR="00DF17B7" w:rsidRPr="008E38F5">
        <w:rPr>
          <w:i/>
          <w:iCs/>
          <w:sz w:val="20"/>
          <w:szCs w:val="20"/>
        </w:rPr>
        <w:t>L’</w:t>
      </w:r>
      <w:proofErr w:type="spellStart"/>
      <w:r w:rsidR="00DF17B7" w:rsidRPr="008E38F5">
        <w:rPr>
          <w:i/>
          <w:iCs/>
          <w:sz w:val="20"/>
          <w:szCs w:val="20"/>
        </w:rPr>
        <w:t>AmCham</w:t>
      </w:r>
      <w:proofErr w:type="spellEnd"/>
      <w:r w:rsidR="00DF17B7" w:rsidRPr="008E38F5">
        <w:rPr>
          <w:i/>
          <w:iCs/>
          <w:sz w:val="20"/>
          <w:szCs w:val="20"/>
        </w:rPr>
        <w:t xml:space="preserve"> France se réjouit de cette coopération qui enrichit l’expertise de </w:t>
      </w:r>
      <w:r w:rsidR="00CF2C7C" w:rsidRPr="008E38F5">
        <w:rPr>
          <w:i/>
          <w:iCs/>
          <w:sz w:val="20"/>
          <w:szCs w:val="20"/>
        </w:rPr>
        <w:t>ses</w:t>
      </w:r>
      <w:r w:rsidR="00DF17B7" w:rsidRPr="008E38F5">
        <w:rPr>
          <w:i/>
          <w:iCs/>
          <w:sz w:val="20"/>
          <w:szCs w:val="20"/>
        </w:rPr>
        <w:t xml:space="preserve"> membres avec l’approche académique du </w:t>
      </w:r>
      <w:proofErr w:type="spellStart"/>
      <w:r w:rsidR="00DF17B7" w:rsidRPr="008E38F5">
        <w:rPr>
          <w:i/>
          <w:iCs/>
          <w:sz w:val="20"/>
          <w:szCs w:val="20"/>
        </w:rPr>
        <w:t>Metalab</w:t>
      </w:r>
      <w:proofErr w:type="spellEnd"/>
      <w:r w:rsidR="00DF17B7" w:rsidRPr="008E38F5">
        <w:rPr>
          <w:i/>
          <w:iCs/>
          <w:sz w:val="20"/>
          <w:szCs w:val="20"/>
        </w:rPr>
        <w:t xml:space="preserve"> de l’ESSEC</w:t>
      </w:r>
      <w:r w:rsidR="00CF2C7C" w:rsidRPr="008E38F5">
        <w:rPr>
          <w:i/>
          <w:iCs/>
          <w:sz w:val="20"/>
          <w:szCs w:val="20"/>
        </w:rPr>
        <w:t xml:space="preserve">, afin de </w:t>
      </w:r>
      <w:r w:rsidR="00DF17B7" w:rsidRPr="008E38F5">
        <w:rPr>
          <w:i/>
          <w:iCs/>
          <w:sz w:val="20"/>
          <w:szCs w:val="20"/>
        </w:rPr>
        <w:t xml:space="preserve">permettre </w:t>
      </w:r>
      <w:r w:rsidRPr="008E38F5">
        <w:rPr>
          <w:i/>
          <w:iCs/>
          <w:sz w:val="20"/>
          <w:szCs w:val="20"/>
        </w:rPr>
        <w:t xml:space="preserve">l’accélération de </w:t>
      </w:r>
      <w:r w:rsidR="00CF2C7C" w:rsidRPr="008E38F5">
        <w:rPr>
          <w:i/>
          <w:iCs/>
          <w:sz w:val="20"/>
          <w:szCs w:val="20"/>
        </w:rPr>
        <w:t>l’adoption de l’IA au sein d</w:t>
      </w:r>
      <w:r w:rsidRPr="008E38F5">
        <w:rPr>
          <w:i/>
          <w:iCs/>
          <w:sz w:val="20"/>
          <w:szCs w:val="20"/>
        </w:rPr>
        <w:t>es</w:t>
      </w:r>
      <w:r w:rsidR="00CF2C7C" w:rsidRPr="008E38F5">
        <w:rPr>
          <w:i/>
          <w:iCs/>
          <w:sz w:val="20"/>
          <w:szCs w:val="20"/>
        </w:rPr>
        <w:t xml:space="preserve"> entreprises</w:t>
      </w:r>
      <w:r w:rsidRPr="008E38F5">
        <w:rPr>
          <w:i/>
          <w:iCs/>
          <w:sz w:val="20"/>
          <w:szCs w:val="20"/>
        </w:rPr>
        <w:t xml:space="preserve"> qu’elle représente</w:t>
      </w:r>
      <w:r w:rsidR="000143B9">
        <w:rPr>
          <w:i/>
          <w:iCs/>
          <w:sz w:val="20"/>
          <w:szCs w:val="20"/>
        </w:rPr>
        <w:t>,</w:t>
      </w:r>
      <w:r w:rsidR="008E38F5">
        <w:rPr>
          <w:i/>
          <w:iCs/>
          <w:sz w:val="20"/>
          <w:szCs w:val="20"/>
        </w:rPr>
        <w:t xml:space="preserve"> et de </w:t>
      </w:r>
      <w:r w:rsidRPr="008E38F5">
        <w:rPr>
          <w:i/>
          <w:iCs/>
          <w:sz w:val="20"/>
          <w:szCs w:val="20"/>
        </w:rPr>
        <w:t>l’ensemble des ETI et PME en France</w:t>
      </w:r>
      <w:r w:rsidR="00CF2C7C" w:rsidRPr="008E38F5">
        <w:rPr>
          <w:i/>
          <w:iCs/>
          <w:sz w:val="20"/>
          <w:szCs w:val="20"/>
        </w:rPr>
        <w:t>.</w:t>
      </w:r>
      <w:r w:rsidRPr="00101B6C">
        <w:rPr>
          <w:sz w:val="20"/>
          <w:szCs w:val="20"/>
        </w:rPr>
        <w:t> »</w:t>
      </w:r>
    </w:p>
    <w:p w14:paraId="392BEF9A" w14:textId="0A716D81" w:rsidR="00101B6C" w:rsidRPr="00101B6C" w:rsidRDefault="00101B6C" w:rsidP="00DF17B7">
      <w:pPr>
        <w:spacing w:before="240" w:after="240"/>
        <w:jc w:val="both"/>
        <w:rPr>
          <w:sz w:val="20"/>
          <w:szCs w:val="20"/>
        </w:rPr>
      </w:pPr>
      <w:r w:rsidRPr="00101B6C">
        <w:rPr>
          <w:sz w:val="20"/>
          <w:szCs w:val="20"/>
        </w:rPr>
        <w:t>Egl</w:t>
      </w:r>
      <w:r>
        <w:rPr>
          <w:sz w:val="20"/>
          <w:szCs w:val="20"/>
        </w:rPr>
        <w:t>é</w:t>
      </w:r>
      <w:r w:rsidRPr="00101B6C">
        <w:rPr>
          <w:sz w:val="20"/>
          <w:szCs w:val="20"/>
        </w:rPr>
        <w:t xml:space="preserve"> de Richemont, Directrice générale de l’</w:t>
      </w:r>
      <w:proofErr w:type="spellStart"/>
      <w:r w:rsidRPr="00101B6C">
        <w:rPr>
          <w:sz w:val="20"/>
          <w:szCs w:val="20"/>
        </w:rPr>
        <w:t>AmCham</w:t>
      </w:r>
      <w:proofErr w:type="spellEnd"/>
      <w:r w:rsidRPr="00101B6C">
        <w:rPr>
          <w:sz w:val="20"/>
          <w:szCs w:val="20"/>
        </w:rPr>
        <w:t xml:space="preserve"> </w:t>
      </w:r>
      <w:r w:rsidR="00564FFB">
        <w:rPr>
          <w:sz w:val="20"/>
          <w:szCs w:val="20"/>
        </w:rPr>
        <w:t>France.</w:t>
      </w:r>
    </w:p>
    <w:p w14:paraId="6367F1FC" w14:textId="232E71C7" w:rsidR="00772D44" w:rsidRDefault="002A21B6">
      <w:pPr>
        <w:spacing w:before="240" w:after="240"/>
        <w:jc w:val="both"/>
        <w:rPr>
          <w:sz w:val="20"/>
          <w:szCs w:val="20"/>
        </w:rPr>
      </w:pPr>
      <w:bookmarkStart w:id="4" w:name="_Hlk129612328"/>
      <w:r>
        <w:rPr>
          <w:sz w:val="20"/>
          <w:szCs w:val="20"/>
        </w:rPr>
        <w:t>Retrouvez le Livre Blanc en cliquant sur ce lien</w:t>
      </w:r>
      <w:r w:rsidR="00882662">
        <w:rPr>
          <w:sz w:val="20"/>
          <w:szCs w:val="20"/>
        </w:rPr>
        <w:t xml:space="preserve"> : </w:t>
      </w:r>
      <w:hyperlink r:id="rId11" w:history="1">
        <w:r w:rsidR="006A089C" w:rsidRPr="006A089C">
          <w:rPr>
            <w:rStyle w:val="Lienhypertexte"/>
            <w:rFonts w:cs="Arial"/>
            <w:sz w:val="20"/>
            <w:szCs w:val="20"/>
          </w:rPr>
          <w:t xml:space="preserve">AI White Paper - 14 </w:t>
        </w:r>
        <w:proofErr w:type="gramStart"/>
        <w:r w:rsidR="006A089C" w:rsidRPr="006A089C">
          <w:rPr>
            <w:rStyle w:val="Lienhypertexte"/>
            <w:rFonts w:cs="Arial"/>
            <w:sz w:val="20"/>
            <w:szCs w:val="20"/>
          </w:rPr>
          <w:t>Mars</w:t>
        </w:r>
        <w:proofErr w:type="gramEnd"/>
        <w:r w:rsidR="006A089C" w:rsidRPr="006A089C">
          <w:rPr>
            <w:rStyle w:val="Lienhypertexte"/>
            <w:rFonts w:cs="Arial"/>
            <w:sz w:val="20"/>
            <w:szCs w:val="20"/>
          </w:rPr>
          <w:t xml:space="preserve"> 2022 (amchamfrance.org)</w:t>
        </w:r>
      </w:hyperlink>
    </w:p>
    <w:bookmarkEnd w:id="4"/>
    <w:p w14:paraId="03A33795" w14:textId="77777777" w:rsidR="006A089C" w:rsidRDefault="006A089C">
      <w:pPr>
        <w:keepNext/>
        <w:keepLines/>
        <w:shd w:val="clear" w:color="auto" w:fill="FFFFFF"/>
        <w:spacing w:line="240" w:lineRule="auto"/>
        <w:jc w:val="center"/>
        <w:rPr>
          <w:b/>
          <w:color w:val="222222"/>
          <w:sz w:val="20"/>
          <w:szCs w:val="20"/>
        </w:rPr>
      </w:pPr>
    </w:p>
    <w:p w14:paraId="25BB4EF4" w14:textId="2797FFC2" w:rsidR="00772D44" w:rsidRPr="00260067" w:rsidRDefault="002A21B6">
      <w:pPr>
        <w:keepNext/>
        <w:keepLines/>
        <w:shd w:val="clear" w:color="auto" w:fill="FFFFFF"/>
        <w:spacing w:line="240" w:lineRule="auto"/>
        <w:jc w:val="center"/>
        <w:rPr>
          <w:color w:val="222222"/>
          <w:sz w:val="20"/>
          <w:szCs w:val="20"/>
          <w:lang w:val="en-US"/>
        </w:rPr>
      </w:pPr>
      <w:r w:rsidRPr="00260067">
        <w:rPr>
          <w:b/>
          <w:color w:val="222222"/>
          <w:sz w:val="20"/>
          <w:szCs w:val="20"/>
          <w:lang w:val="en-US"/>
        </w:rPr>
        <w:t xml:space="preserve">Contacts </w:t>
      </w:r>
      <w:proofErr w:type="spellStart"/>
      <w:proofErr w:type="gramStart"/>
      <w:r w:rsidRPr="00260067">
        <w:rPr>
          <w:b/>
          <w:color w:val="222222"/>
          <w:sz w:val="20"/>
          <w:szCs w:val="20"/>
          <w:lang w:val="en-US"/>
        </w:rPr>
        <w:t>presse</w:t>
      </w:r>
      <w:proofErr w:type="spellEnd"/>
      <w:r w:rsidRPr="00260067">
        <w:rPr>
          <w:color w:val="222222"/>
          <w:sz w:val="20"/>
          <w:szCs w:val="20"/>
          <w:lang w:val="en-US"/>
        </w:rPr>
        <w:t xml:space="preserve"> :</w:t>
      </w:r>
      <w:proofErr w:type="gramEnd"/>
      <w:r w:rsidRPr="00260067">
        <w:rPr>
          <w:color w:val="222222"/>
          <w:sz w:val="20"/>
          <w:szCs w:val="20"/>
          <w:lang w:val="en-US"/>
        </w:rPr>
        <w:t xml:space="preserve"> </w:t>
      </w:r>
    </w:p>
    <w:p w14:paraId="0F4BB849" w14:textId="77777777" w:rsidR="00DF1021" w:rsidRPr="00260067" w:rsidRDefault="00DF1021" w:rsidP="00DF1021">
      <w:pPr>
        <w:keepNext/>
        <w:keepLines/>
        <w:shd w:val="clear" w:color="auto" w:fill="FFFFFF"/>
        <w:spacing w:line="240" w:lineRule="auto"/>
        <w:jc w:val="center"/>
        <w:rPr>
          <w:color w:val="222222"/>
          <w:sz w:val="20"/>
          <w:szCs w:val="20"/>
          <w:lang w:val="en-US"/>
        </w:rPr>
      </w:pPr>
      <w:r w:rsidRPr="00260067">
        <w:rPr>
          <w:color w:val="222222"/>
          <w:sz w:val="20"/>
          <w:szCs w:val="20"/>
          <w:lang w:val="en-US"/>
        </w:rPr>
        <w:t>AmCham France</w:t>
      </w:r>
    </w:p>
    <w:p w14:paraId="66E98057" w14:textId="3CDEDC0B" w:rsidR="00DF1021" w:rsidRPr="000143B9" w:rsidRDefault="006A089C" w:rsidP="00DF1021">
      <w:pPr>
        <w:keepNext/>
        <w:keepLines/>
        <w:shd w:val="clear" w:color="auto" w:fill="FFFFFF"/>
        <w:spacing w:line="240" w:lineRule="auto"/>
        <w:jc w:val="center"/>
        <w:rPr>
          <w:sz w:val="20"/>
          <w:szCs w:val="20"/>
          <w:lang w:val="en-US"/>
        </w:rPr>
      </w:pPr>
      <w:r w:rsidRPr="000143B9">
        <w:rPr>
          <w:color w:val="222222"/>
          <w:sz w:val="20"/>
          <w:szCs w:val="20"/>
          <w:lang w:val="en-US"/>
        </w:rPr>
        <w:t>Laura Delaunay</w:t>
      </w:r>
      <w:r w:rsidR="00DF1021" w:rsidRPr="000143B9">
        <w:rPr>
          <w:color w:val="222222"/>
          <w:sz w:val="20"/>
          <w:szCs w:val="20"/>
          <w:lang w:val="en-US"/>
        </w:rPr>
        <w:t xml:space="preserve"> </w:t>
      </w:r>
      <w:r w:rsidR="00D742A0" w:rsidRPr="000143B9">
        <w:rPr>
          <w:color w:val="222222"/>
          <w:sz w:val="20"/>
          <w:szCs w:val="20"/>
          <w:lang w:val="en-US"/>
        </w:rPr>
        <w:t>–</w:t>
      </w:r>
      <w:r w:rsidR="00DF1021" w:rsidRPr="000143B9">
        <w:rPr>
          <w:color w:val="222222"/>
          <w:sz w:val="20"/>
          <w:szCs w:val="20"/>
          <w:lang w:val="en-US"/>
        </w:rPr>
        <w:t xml:space="preserve"> </w:t>
      </w:r>
      <w:proofErr w:type="spellStart"/>
      <w:proofErr w:type="gramStart"/>
      <w:r w:rsidR="00101B6C" w:rsidRPr="000143B9">
        <w:rPr>
          <w:color w:val="222222"/>
          <w:sz w:val="20"/>
          <w:szCs w:val="20"/>
          <w:lang w:val="en-US"/>
        </w:rPr>
        <w:t>laura.delaunay</w:t>
      </w:r>
      <w:proofErr w:type="spellEnd"/>
      <w:proofErr w:type="gramEnd"/>
      <w:r w:rsidR="00101B6C" w:rsidRPr="000143B9">
        <w:rPr>
          <w:color w:val="222222"/>
          <w:sz w:val="20"/>
          <w:szCs w:val="20"/>
          <w:lang w:val="en-US"/>
        </w:rPr>
        <w:t xml:space="preserve"> </w:t>
      </w:r>
      <w:r w:rsidR="00DF1021" w:rsidRPr="000143B9">
        <w:rPr>
          <w:color w:val="222222"/>
          <w:sz w:val="20"/>
          <w:szCs w:val="20"/>
          <w:lang w:val="en-US"/>
        </w:rPr>
        <w:t>@amchamfrance.org</w:t>
      </w:r>
    </w:p>
    <w:p w14:paraId="1DD0AA87" w14:textId="77777777" w:rsidR="00772D44" w:rsidRPr="00D742A0" w:rsidRDefault="002A21B6">
      <w:pPr>
        <w:keepNext/>
        <w:keepLines/>
        <w:shd w:val="clear" w:color="auto" w:fill="FFFFFF"/>
        <w:spacing w:line="240" w:lineRule="auto"/>
        <w:jc w:val="center"/>
        <w:rPr>
          <w:color w:val="222222"/>
          <w:sz w:val="20"/>
          <w:szCs w:val="20"/>
          <w:lang w:val="en-US"/>
        </w:rPr>
      </w:pPr>
      <w:r w:rsidRPr="00D742A0">
        <w:rPr>
          <w:color w:val="222222"/>
          <w:sz w:val="20"/>
          <w:szCs w:val="20"/>
          <w:lang w:val="en-US"/>
        </w:rPr>
        <w:t>ESSEC Business School</w:t>
      </w:r>
    </w:p>
    <w:p w14:paraId="692AC63F" w14:textId="4CAC6DA2" w:rsidR="00772D44" w:rsidRPr="004927C0" w:rsidRDefault="002A21B6">
      <w:pPr>
        <w:keepNext/>
        <w:keepLines/>
        <w:shd w:val="clear" w:color="auto" w:fill="FFFFFF"/>
        <w:spacing w:line="240" w:lineRule="auto"/>
        <w:jc w:val="center"/>
        <w:rPr>
          <w:color w:val="222222"/>
          <w:sz w:val="20"/>
          <w:szCs w:val="20"/>
          <w:lang w:val="fr-FR"/>
        </w:rPr>
      </w:pPr>
      <w:r w:rsidRPr="004927C0">
        <w:rPr>
          <w:color w:val="222222"/>
          <w:sz w:val="20"/>
          <w:szCs w:val="20"/>
          <w:lang w:val="fr-FR"/>
        </w:rPr>
        <w:t xml:space="preserve">Marie-Caroline Saro - </w:t>
      </w:r>
      <w:hyperlink r:id="rId12">
        <w:r w:rsidRPr="004927C0">
          <w:rPr>
            <w:color w:val="1155CC"/>
            <w:sz w:val="20"/>
            <w:szCs w:val="20"/>
            <w:u w:val="single"/>
            <w:lang w:val="fr-FR"/>
          </w:rPr>
          <w:t>saro@essec.edu</w:t>
        </w:r>
      </w:hyperlink>
      <w:r w:rsidRPr="004927C0">
        <w:rPr>
          <w:color w:val="222222"/>
          <w:sz w:val="20"/>
          <w:szCs w:val="20"/>
          <w:lang w:val="fr-FR"/>
        </w:rPr>
        <w:t xml:space="preserve"> / 06 70 61 91 59</w:t>
      </w:r>
    </w:p>
    <w:p w14:paraId="0DF6BF50" w14:textId="4E162346" w:rsidR="006A089C" w:rsidRPr="004927C0" w:rsidRDefault="006A089C">
      <w:pPr>
        <w:keepNext/>
        <w:keepLines/>
        <w:shd w:val="clear" w:color="auto" w:fill="FFFFFF"/>
        <w:spacing w:line="240" w:lineRule="auto"/>
        <w:jc w:val="center"/>
        <w:rPr>
          <w:color w:val="222222"/>
          <w:sz w:val="20"/>
          <w:szCs w:val="20"/>
          <w:lang w:val="fr-FR"/>
        </w:rPr>
      </w:pPr>
    </w:p>
    <w:p w14:paraId="42540BA5" w14:textId="2D4FA344" w:rsidR="006A089C" w:rsidRPr="004927C0" w:rsidRDefault="006A089C">
      <w:pPr>
        <w:keepNext/>
        <w:keepLines/>
        <w:shd w:val="clear" w:color="auto" w:fill="FFFFFF"/>
        <w:spacing w:line="240" w:lineRule="auto"/>
        <w:jc w:val="center"/>
        <w:rPr>
          <w:color w:val="222222"/>
          <w:sz w:val="20"/>
          <w:szCs w:val="20"/>
          <w:lang w:val="fr-FR"/>
        </w:rPr>
      </w:pPr>
    </w:p>
    <w:p w14:paraId="633737E0" w14:textId="586773DA" w:rsidR="006A089C" w:rsidRPr="004927C0" w:rsidRDefault="006A089C">
      <w:pPr>
        <w:keepNext/>
        <w:keepLines/>
        <w:shd w:val="clear" w:color="auto" w:fill="FFFFFF"/>
        <w:spacing w:line="240" w:lineRule="auto"/>
        <w:jc w:val="center"/>
        <w:rPr>
          <w:color w:val="222222"/>
          <w:sz w:val="20"/>
          <w:szCs w:val="20"/>
          <w:lang w:val="fr-FR"/>
        </w:rPr>
      </w:pPr>
    </w:p>
    <w:p w14:paraId="13D4461E" w14:textId="77777777" w:rsidR="006A089C" w:rsidRPr="004927C0" w:rsidRDefault="006A089C">
      <w:pPr>
        <w:keepNext/>
        <w:keepLines/>
        <w:shd w:val="clear" w:color="auto" w:fill="FFFFFF"/>
        <w:spacing w:line="240" w:lineRule="auto"/>
        <w:jc w:val="center"/>
        <w:rPr>
          <w:color w:val="222222"/>
          <w:sz w:val="20"/>
          <w:szCs w:val="20"/>
          <w:lang w:val="fr-FR"/>
        </w:rPr>
      </w:pPr>
    </w:p>
    <w:p w14:paraId="29044A7C" w14:textId="25461F3F" w:rsidR="00772D44" w:rsidRPr="004927C0" w:rsidRDefault="00772D44">
      <w:pPr>
        <w:shd w:val="clear" w:color="auto" w:fill="FFFFFF"/>
        <w:spacing w:before="240" w:after="120"/>
        <w:jc w:val="both"/>
        <w:rPr>
          <w:b/>
          <w:color w:val="222222"/>
          <w:sz w:val="20"/>
          <w:szCs w:val="20"/>
          <w:lang w:val="fr-FR"/>
        </w:rPr>
      </w:pPr>
    </w:p>
    <w:p w14:paraId="5AC3CE30" w14:textId="77777777" w:rsidR="00DF1021" w:rsidRDefault="00DF1021" w:rsidP="00DF1021">
      <w:pPr>
        <w:spacing w:before="240" w:after="120"/>
        <w:jc w:val="both"/>
        <w:rPr>
          <w:b/>
          <w:sz w:val="20"/>
          <w:szCs w:val="20"/>
        </w:rPr>
      </w:pPr>
      <w:r>
        <w:rPr>
          <w:b/>
          <w:sz w:val="20"/>
          <w:szCs w:val="20"/>
        </w:rPr>
        <w:lastRenderedPageBreak/>
        <w:t>A propos de l’</w:t>
      </w:r>
      <w:proofErr w:type="spellStart"/>
      <w:r>
        <w:rPr>
          <w:b/>
          <w:sz w:val="20"/>
          <w:szCs w:val="20"/>
        </w:rPr>
        <w:t>AmCham</w:t>
      </w:r>
      <w:proofErr w:type="spellEnd"/>
      <w:r>
        <w:rPr>
          <w:b/>
          <w:sz w:val="20"/>
          <w:szCs w:val="20"/>
        </w:rPr>
        <w:t xml:space="preserve"> France</w:t>
      </w:r>
    </w:p>
    <w:p w14:paraId="41A6E4DC" w14:textId="77777777" w:rsidR="00DF1021" w:rsidRDefault="00DF1021" w:rsidP="00DF1021">
      <w:pPr>
        <w:jc w:val="both"/>
        <w:rPr>
          <w:rFonts w:eastAsia="Times New Roman"/>
          <w:sz w:val="20"/>
          <w:szCs w:val="20"/>
          <w:lang w:val="fr-FR"/>
        </w:rPr>
      </w:pPr>
      <w:r w:rsidRPr="006912F2">
        <w:rPr>
          <w:rFonts w:eastAsia="Times New Roman"/>
          <w:sz w:val="20"/>
          <w:szCs w:val="20"/>
          <w:lang w:val="fr-FR"/>
        </w:rPr>
        <w:t>L’</w:t>
      </w:r>
      <w:proofErr w:type="spellStart"/>
      <w:r w:rsidRPr="006912F2">
        <w:rPr>
          <w:rFonts w:eastAsia="Times New Roman"/>
          <w:sz w:val="20"/>
          <w:szCs w:val="20"/>
          <w:lang w:val="fr-FR"/>
        </w:rPr>
        <w:t>AmCham</w:t>
      </w:r>
      <w:proofErr w:type="spellEnd"/>
      <w:r w:rsidRPr="006912F2">
        <w:rPr>
          <w:rFonts w:eastAsia="Times New Roman"/>
          <w:sz w:val="20"/>
          <w:szCs w:val="20"/>
          <w:lang w:val="fr-FR"/>
        </w:rPr>
        <w:t xml:space="preserve"> France a été fondée en 1894 pour promouvoir les échanges économiques entre la France et les États-Unis. En tant que plateforme de rencontre, de réflexion et d’échange, l’</w:t>
      </w:r>
      <w:proofErr w:type="spellStart"/>
      <w:r w:rsidRPr="006912F2">
        <w:rPr>
          <w:rFonts w:eastAsia="Times New Roman"/>
          <w:sz w:val="20"/>
          <w:szCs w:val="20"/>
          <w:lang w:val="fr-FR"/>
        </w:rPr>
        <w:t>AmCham</w:t>
      </w:r>
      <w:proofErr w:type="spellEnd"/>
      <w:r w:rsidRPr="006912F2">
        <w:rPr>
          <w:rFonts w:eastAsia="Times New Roman"/>
          <w:sz w:val="20"/>
          <w:szCs w:val="20"/>
          <w:lang w:val="fr-FR"/>
        </w:rPr>
        <w:t xml:space="preserve"> France agit comme un trait d’union entre les milieux politique, économique et académique. Elle regroupe aujourd’hui 200 entreprises françaises et américaines de premier</w:t>
      </w:r>
      <w:r w:rsidRPr="006912F2">
        <w:rPr>
          <w:rFonts w:eastAsia="Times New Roman"/>
          <w:lang w:val="fr-FR"/>
        </w:rPr>
        <w:t xml:space="preserve"> plan ainsi que de nombreux </w:t>
      </w:r>
      <w:r w:rsidRPr="006912F2">
        <w:rPr>
          <w:rFonts w:eastAsia="Times New Roman"/>
          <w:sz w:val="20"/>
          <w:szCs w:val="20"/>
          <w:lang w:val="fr-FR"/>
        </w:rPr>
        <w:t xml:space="preserve">partenaires académiques et économique attachés à la relation transatlantique. </w:t>
      </w:r>
    </w:p>
    <w:p w14:paraId="25B66113" w14:textId="77777777" w:rsidR="00DF1021" w:rsidRDefault="00DF1021" w:rsidP="00DF1021">
      <w:pPr>
        <w:jc w:val="both"/>
        <w:rPr>
          <w:rFonts w:eastAsia="Times New Roman"/>
          <w:sz w:val="20"/>
          <w:szCs w:val="20"/>
          <w:lang w:val="fr-FR"/>
        </w:rPr>
      </w:pPr>
      <w:r w:rsidRPr="006912F2">
        <w:rPr>
          <w:rFonts w:eastAsia="Times New Roman"/>
          <w:sz w:val="20"/>
          <w:szCs w:val="20"/>
          <w:lang w:val="fr-FR"/>
        </w:rPr>
        <w:t>Indépendante de tout gouvernement, et convaincue que les entreprises ont un rôle crucial à jouer pour faire émerger de nouvelles idées dans le débat public, elle est force de propositions pour répondre aux grands défis sociétaux, économiques et environnementaux. A ce titre, l’</w:t>
      </w:r>
      <w:proofErr w:type="spellStart"/>
      <w:r w:rsidRPr="006912F2">
        <w:rPr>
          <w:rFonts w:eastAsia="Times New Roman"/>
          <w:sz w:val="20"/>
          <w:szCs w:val="20"/>
          <w:lang w:val="fr-FR"/>
        </w:rPr>
        <w:t>AmCham</w:t>
      </w:r>
      <w:proofErr w:type="spellEnd"/>
      <w:r w:rsidRPr="006912F2">
        <w:rPr>
          <w:rFonts w:eastAsia="Times New Roman"/>
          <w:sz w:val="20"/>
          <w:szCs w:val="20"/>
          <w:lang w:val="fr-FR"/>
        </w:rPr>
        <w:t xml:space="preserve"> France s’attache à renforcer l’attractivité de la France. </w:t>
      </w:r>
    </w:p>
    <w:p w14:paraId="24C9F582" w14:textId="3AA6A28A" w:rsidR="00DF1021" w:rsidRDefault="00DF1021" w:rsidP="00DF1021">
      <w:pPr>
        <w:jc w:val="both"/>
        <w:rPr>
          <w:rFonts w:eastAsia="Times New Roman"/>
          <w:sz w:val="20"/>
          <w:szCs w:val="20"/>
          <w:lang w:val="fr-FR"/>
        </w:rPr>
      </w:pPr>
      <w:r w:rsidRPr="006912F2">
        <w:rPr>
          <w:rFonts w:eastAsia="Times New Roman"/>
          <w:sz w:val="20"/>
          <w:szCs w:val="20"/>
          <w:lang w:val="fr-FR"/>
        </w:rPr>
        <w:t>Elle œuvre ainsi, au nom de ses membres, auprès des décideurs publics pour développer et consolider un environnement français favorable aux entreprises internationales, et notamment américaines, qui sont les premiers investisseurs et employeurs étrangers en France.</w:t>
      </w:r>
    </w:p>
    <w:p w14:paraId="5EADC9D6" w14:textId="77777777" w:rsidR="00DF1021" w:rsidRPr="006912F2" w:rsidRDefault="00DF1021" w:rsidP="00DF1021">
      <w:pPr>
        <w:jc w:val="both"/>
        <w:rPr>
          <w:rFonts w:eastAsia="Times New Roman"/>
          <w:sz w:val="20"/>
          <w:szCs w:val="20"/>
          <w:lang w:val="fr-FR"/>
        </w:rPr>
      </w:pPr>
    </w:p>
    <w:p w14:paraId="72DC4F8B" w14:textId="77777777" w:rsidR="00DF1021" w:rsidRPr="006912F2" w:rsidRDefault="00DF1021" w:rsidP="00DF1021">
      <w:pPr>
        <w:spacing w:after="160"/>
        <w:jc w:val="both"/>
        <w:rPr>
          <w:rFonts w:eastAsia="Times New Roman"/>
          <w:b/>
          <w:bCs/>
          <w:sz w:val="20"/>
          <w:szCs w:val="20"/>
          <w:lang w:val="fr-FR" w:eastAsia="en-US"/>
        </w:rPr>
      </w:pPr>
      <w:r w:rsidRPr="006912F2">
        <w:rPr>
          <w:rFonts w:eastAsia="Times New Roman"/>
          <w:sz w:val="20"/>
          <w:szCs w:val="20"/>
          <w:lang w:val="fr-FR" w:eastAsia="en-US"/>
        </w:rPr>
        <w:t xml:space="preserve">Davantage d’informations sur notre site : </w:t>
      </w:r>
      <w:hyperlink r:id="rId13" w:history="1">
        <w:r w:rsidRPr="006912F2">
          <w:rPr>
            <w:rFonts w:eastAsia="Times New Roman"/>
            <w:color w:val="0000FF" w:themeColor="hyperlink"/>
            <w:sz w:val="20"/>
            <w:szCs w:val="20"/>
            <w:u w:val="single"/>
            <w:lang w:val="fr-FR" w:eastAsia="en-US"/>
          </w:rPr>
          <w:t>https://amchamfrance.org/</w:t>
        </w:r>
      </w:hyperlink>
      <w:r w:rsidRPr="006912F2">
        <w:rPr>
          <w:rFonts w:eastAsia="Times New Roman"/>
          <w:sz w:val="20"/>
          <w:szCs w:val="20"/>
          <w:lang w:val="fr-FR" w:eastAsia="en-US"/>
        </w:rPr>
        <w:t xml:space="preserve"> </w:t>
      </w:r>
    </w:p>
    <w:p w14:paraId="24AA4A98" w14:textId="77777777" w:rsidR="00772D44" w:rsidRDefault="002A21B6">
      <w:pPr>
        <w:shd w:val="clear" w:color="auto" w:fill="FFFFFF"/>
        <w:spacing w:before="240" w:after="120"/>
        <w:jc w:val="both"/>
        <w:rPr>
          <w:color w:val="222222"/>
          <w:sz w:val="20"/>
          <w:szCs w:val="20"/>
        </w:rPr>
      </w:pPr>
      <w:r>
        <w:rPr>
          <w:b/>
          <w:color w:val="222222"/>
          <w:sz w:val="20"/>
          <w:szCs w:val="20"/>
        </w:rPr>
        <w:t xml:space="preserve">À propos de l’ESSEC Business </w:t>
      </w:r>
      <w:proofErr w:type="spellStart"/>
      <w:r>
        <w:rPr>
          <w:b/>
          <w:color w:val="222222"/>
          <w:sz w:val="20"/>
          <w:szCs w:val="20"/>
        </w:rPr>
        <w:t>School</w:t>
      </w:r>
      <w:proofErr w:type="spellEnd"/>
      <w:r>
        <w:rPr>
          <w:b/>
          <w:color w:val="222222"/>
          <w:sz w:val="20"/>
          <w:szCs w:val="20"/>
        </w:rPr>
        <w:t xml:space="preserve"> </w:t>
      </w:r>
      <w:r>
        <w:rPr>
          <w:color w:val="222222"/>
          <w:sz w:val="20"/>
          <w:szCs w:val="20"/>
        </w:rPr>
        <w:t xml:space="preserve">: </w:t>
      </w:r>
    </w:p>
    <w:p w14:paraId="33FC7100" w14:textId="77777777" w:rsidR="00772D44" w:rsidRDefault="002A21B6">
      <w:pPr>
        <w:shd w:val="clear" w:color="auto" w:fill="FFFFFF"/>
        <w:spacing w:before="240" w:after="120"/>
        <w:jc w:val="both"/>
        <w:rPr>
          <w:color w:val="222222"/>
          <w:sz w:val="20"/>
          <w:szCs w:val="20"/>
        </w:rPr>
      </w:pPr>
      <w:r>
        <w:rPr>
          <w:color w:val="222222"/>
          <w:sz w:val="20"/>
          <w:szCs w:val="20"/>
        </w:rPr>
        <w:t xml:space="preserve">L’ESSEC </w:t>
      </w:r>
      <w:proofErr w:type="spellStart"/>
      <w:r>
        <w:rPr>
          <w:color w:val="222222"/>
          <w:sz w:val="20"/>
          <w:szCs w:val="20"/>
        </w:rPr>
        <w:t>Metalab</w:t>
      </w:r>
      <w:proofErr w:type="spellEnd"/>
      <w:r>
        <w:rPr>
          <w:color w:val="222222"/>
          <w:sz w:val="20"/>
          <w:szCs w:val="20"/>
        </w:rPr>
        <w:t xml:space="preserve"> for Data, </w:t>
      </w:r>
      <w:proofErr w:type="spellStart"/>
      <w:r>
        <w:rPr>
          <w:color w:val="222222"/>
          <w:sz w:val="20"/>
          <w:szCs w:val="20"/>
        </w:rPr>
        <w:t>Technology</w:t>
      </w:r>
      <w:proofErr w:type="spellEnd"/>
      <w:r>
        <w:rPr>
          <w:color w:val="222222"/>
          <w:sz w:val="20"/>
          <w:szCs w:val="20"/>
        </w:rPr>
        <w:t xml:space="preserve"> &amp; Society explore et étudie les transformations à l'interface de la science, de la technologie, du management et des questions de société. Avec ses partenaires industriels et publics, le </w:t>
      </w:r>
      <w:proofErr w:type="spellStart"/>
      <w:r>
        <w:rPr>
          <w:color w:val="222222"/>
          <w:sz w:val="20"/>
          <w:szCs w:val="20"/>
        </w:rPr>
        <w:t>Metalab</w:t>
      </w:r>
      <w:proofErr w:type="spellEnd"/>
      <w:r>
        <w:rPr>
          <w:color w:val="222222"/>
          <w:sz w:val="20"/>
          <w:szCs w:val="20"/>
        </w:rPr>
        <w:t xml:space="preserve"> produit et participe à des projets de recherche rayonnants, développe des programmes éducatifs innovants, et anime la conversation publique sur l'adoption des technologies de données et d'IA par les entreprises et la société. </w:t>
      </w:r>
    </w:p>
    <w:p w14:paraId="7687E749" w14:textId="77777777" w:rsidR="00772D44" w:rsidRDefault="002A21B6">
      <w:pPr>
        <w:shd w:val="clear" w:color="auto" w:fill="FFFFFF"/>
        <w:spacing w:before="240" w:after="120"/>
        <w:jc w:val="both"/>
        <w:rPr>
          <w:color w:val="222222"/>
          <w:sz w:val="20"/>
          <w:szCs w:val="20"/>
        </w:rPr>
      </w:pPr>
      <w:r>
        <w:rPr>
          <w:color w:val="222222"/>
          <w:sz w:val="20"/>
          <w:szCs w:val="20"/>
        </w:rPr>
        <w:t xml:space="preserve">L’ESSEC, fondée en 1907, est un acteur majeur de l’enseignement de la gestion sur la scène mondiale qui détient la « Triple couronne » en ayant les accréditations EQUIS, AACSB et AMBA. Avec 7 200 étudiants en formation initiale, une large gamme de programmes en management, des partenariats avec les plus grandes universités dans le monde, un réseau de 65 000 diplômés, un corps professoral composé de 143 professeurs permanents en France et à Singapour dont 19 professeurs émérites, reconnus pour la qualité et l’influence de leurs recherches, l’ESSEC perpétue une tradition d’excellence académique et cultive un esprit d’ouverture au service des activités économiques, sociales et de l’innovation. En 2005, l’ESSEC a ouvert un campus en Asie, l’ESSEC Asia-Pacific, stratégiquement situé à Singapour. Ce campus représente pour l’ESSEC l’opportunité de participer à la croissance de l’Asie et d’apporter son expertise dans cette région en pleine expansion. En 2016, l’ESSEC a ouvert un nouveau campus ESSEC Afrique à Rabat, au Maroc. L'expansion internationale de l'ESSEC permet à ses étudiants et professeurs d'étudier et comprendre les forces économiques en présence dans les différentes régions du monde. </w:t>
      </w:r>
    </w:p>
    <w:p w14:paraId="56C0D700" w14:textId="77777777" w:rsidR="00772D44" w:rsidRDefault="002A21B6">
      <w:pPr>
        <w:shd w:val="clear" w:color="auto" w:fill="FFFFFF"/>
        <w:spacing w:before="240" w:after="120"/>
        <w:jc w:val="both"/>
        <w:rPr>
          <w:color w:val="222222"/>
          <w:sz w:val="20"/>
          <w:szCs w:val="20"/>
        </w:rPr>
      </w:pPr>
      <w:r>
        <w:rPr>
          <w:color w:val="222222"/>
          <w:sz w:val="20"/>
          <w:szCs w:val="20"/>
        </w:rPr>
        <w:t xml:space="preserve">Pour toute information complémentaire : </w:t>
      </w:r>
      <w:hyperlink r:id="rId14">
        <w:r>
          <w:rPr>
            <w:color w:val="1155CC"/>
            <w:sz w:val="20"/>
            <w:szCs w:val="20"/>
            <w:u w:val="single"/>
          </w:rPr>
          <w:t>www.essec.edu</w:t>
        </w:r>
      </w:hyperlink>
      <w:r>
        <w:rPr>
          <w:color w:val="222222"/>
          <w:sz w:val="20"/>
          <w:szCs w:val="20"/>
        </w:rPr>
        <w:t xml:space="preserve"> </w:t>
      </w:r>
    </w:p>
    <w:p w14:paraId="20308395" w14:textId="252E3424" w:rsidR="00772D44" w:rsidRDefault="00772D44" w:rsidP="00DF17B7">
      <w:pPr>
        <w:spacing w:before="240" w:after="120"/>
        <w:jc w:val="both"/>
        <w:rPr>
          <w:sz w:val="20"/>
          <w:szCs w:val="20"/>
        </w:rPr>
      </w:pPr>
    </w:p>
    <w:sectPr w:rsidR="00772D4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256A" w14:textId="77777777" w:rsidR="00096EF4" w:rsidRDefault="00096EF4">
      <w:pPr>
        <w:spacing w:line="240" w:lineRule="auto"/>
      </w:pPr>
      <w:r>
        <w:separator/>
      </w:r>
    </w:p>
  </w:endnote>
  <w:endnote w:type="continuationSeparator" w:id="0">
    <w:p w14:paraId="5D1DD0D6" w14:textId="77777777" w:rsidR="00096EF4" w:rsidRDefault="00096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DE14D" w14:textId="77777777" w:rsidR="00096EF4" w:rsidRDefault="00096EF4">
      <w:pPr>
        <w:spacing w:line="240" w:lineRule="auto"/>
      </w:pPr>
      <w:r>
        <w:separator/>
      </w:r>
    </w:p>
  </w:footnote>
  <w:footnote w:type="continuationSeparator" w:id="0">
    <w:p w14:paraId="77ED199C" w14:textId="77777777" w:rsidR="00096EF4" w:rsidRDefault="00096EF4">
      <w:pPr>
        <w:spacing w:line="240" w:lineRule="auto"/>
      </w:pPr>
      <w:r>
        <w:continuationSeparator/>
      </w:r>
    </w:p>
  </w:footnote>
  <w:footnote w:id="1">
    <w:p w14:paraId="4B98F129" w14:textId="77777777" w:rsidR="00772D44" w:rsidRPr="00882662" w:rsidRDefault="002A21B6">
      <w:pPr>
        <w:spacing w:line="240" w:lineRule="auto"/>
        <w:rPr>
          <w:sz w:val="16"/>
          <w:szCs w:val="16"/>
          <w:lang w:val="en-US"/>
        </w:rPr>
      </w:pPr>
      <w:r>
        <w:rPr>
          <w:vertAlign w:val="superscript"/>
        </w:rPr>
        <w:footnoteRef/>
      </w:r>
      <w:r w:rsidRPr="00882662">
        <w:rPr>
          <w:sz w:val="16"/>
          <w:szCs w:val="16"/>
          <w:lang w:val="en-US"/>
        </w:rPr>
        <w:t xml:space="preserve"> </w:t>
      </w:r>
      <w:r w:rsidRPr="00882662">
        <w:rPr>
          <w:b/>
          <w:i/>
          <w:sz w:val="16"/>
          <w:szCs w:val="16"/>
          <w:lang w:val="en-US"/>
        </w:rPr>
        <w:t xml:space="preserve">“Artificial intelligence: Changing landscape for </w:t>
      </w:r>
      <w:proofErr w:type="gramStart"/>
      <w:r w:rsidRPr="00882662">
        <w:rPr>
          <w:b/>
          <w:i/>
          <w:sz w:val="16"/>
          <w:szCs w:val="16"/>
          <w:lang w:val="en-US"/>
        </w:rPr>
        <w:t>SMEs“</w:t>
      </w:r>
      <w:proofErr w:type="gramEnd"/>
      <w:r w:rsidRPr="00882662">
        <w:rPr>
          <w:b/>
          <w:i/>
          <w:sz w:val="16"/>
          <w:szCs w:val="16"/>
          <w:lang w:val="en-US"/>
        </w:rPr>
        <w:t>, OECD</w:t>
      </w:r>
    </w:p>
  </w:footnote>
  <w:footnote w:id="2">
    <w:p w14:paraId="45688B22" w14:textId="77777777" w:rsidR="00772D44" w:rsidRDefault="002A21B6">
      <w:pPr>
        <w:spacing w:line="240" w:lineRule="auto"/>
        <w:rPr>
          <w:b/>
          <w:i/>
          <w:sz w:val="16"/>
          <w:szCs w:val="16"/>
        </w:rPr>
      </w:pPr>
      <w:r>
        <w:rPr>
          <w:vertAlign w:val="superscript"/>
        </w:rPr>
        <w:footnoteRef/>
      </w:r>
      <w:r>
        <w:rPr>
          <w:b/>
          <w:i/>
          <w:sz w:val="18"/>
          <w:szCs w:val="18"/>
        </w:rPr>
        <w:t xml:space="preserve"> “</w:t>
      </w:r>
      <w:r>
        <w:rPr>
          <w:b/>
          <w:i/>
          <w:sz w:val="16"/>
          <w:szCs w:val="16"/>
        </w:rPr>
        <w:t>L'IA devrait multiplier par quatre la productivité des travailleurs du savoir d'ici à 2030” (ARK-Invest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44"/>
    <w:rsid w:val="00000732"/>
    <w:rsid w:val="000143B9"/>
    <w:rsid w:val="00037129"/>
    <w:rsid w:val="00096EF4"/>
    <w:rsid w:val="00101B6C"/>
    <w:rsid w:val="00143B13"/>
    <w:rsid w:val="00260067"/>
    <w:rsid w:val="002A21B6"/>
    <w:rsid w:val="00391A83"/>
    <w:rsid w:val="003B7E61"/>
    <w:rsid w:val="00405F26"/>
    <w:rsid w:val="004927C0"/>
    <w:rsid w:val="00564FFB"/>
    <w:rsid w:val="005651BA"/>
    <w:rsid w:val="006912F2"/>
    <w:rsid w:val="006A089C"/>
    <w:rsid w:val="007367A6"/>
    <w:rsid w:val="00772D44"/>
    <w:rsid w:val="00854E40"/>
    <w:rsid w:val="00882662"/>
    <w:rsid w:val="008E38F5"/>
    <w:rsid w:val="00967024"/>
    <w:rsid w:val="00A6395D"/>
    <w:rsid w:val="00B00AEB"/>
    <w:rsid w:val="00C47812"/>
    <w:rsid w:val="00CF2C7C"/>
    <w:rsid w:val="00D742A0"/>
    <w:rsid w:val="00DC642A"/>
    <w:rsid w:val="00DF1021"/>
    <w:rsid w:val="00DF17B7"/>
    <w:rsid w:val="00F31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54A6"/>
  <w15:docId w15:val="{AA4E523D-FB05-405C-A52E-BDF4828C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character" w:styleId="Marquedecommentaire">
    <w:name w:val="annotation reference"/>
    <w:basedOn w:val="Policepardfaut"/>
    <w:uiPriority w:val="99"/>
    <w:semiHidden/>
    <w:unhideWhenUsed/>
    <w:rsid w:val="00967024"/>
    <w:rPr>
      <w:sz w:val="16"/>
      <w:szCs w:val="16"/>
    </w:rPr>
  </w:style>
  <w:style w:type="paragraph" w:styleId="Commentaire">
    <w:name w:val="annotation text"/>
    <w:basedOn w:val="Normal"/>
    <w:link w:val="CommentaireCar"/>
    <w:uiPriority w:val="99"/>
    <w:semiHidden/>
    <w:unhideWhenUsed/>
    <w:rsid w:val="00967024"/>
    <w:pPr>
      <w:spacing w:line="240" w:lineRule="auto"/>
    </w:pPr>
    <w:rPr>
      <w:sz w:val="20"/>
      <w:szCs w:val="20"/>
    </w:rPr>
  </w:style>
  <w:style w:type="character" w:customStyle="1" w:styleId="CommentaireCar">
    <w:name w:val="Commentaire Car"/>
    <w:basedOn w:val="Policepardfaut"/>
    <w:link w:val="Commentaire"/>
    <w:uiPriority w:val="99"/>
    <w:semiHidden/>
    <w:rsid w:val="00967024"/>
    <w:rPr>
      <w:sz w:val="20"/>
      <w:szCs w:val="20"/>
    </w:rPr>
  </w:style>
  <w:style w:type="paragraph" w:styleId="Objetducommentaire">
    <w:name w:val="annotation subject"/>
    <w:basedOn w:val="Commentaire"/>
    <w:next w:val="Commentaire"/>
    <w:link w:val="ObjetducommentaireCar"/>
    <w:uiPriority w:val="99"/>
    <w:semiHidden/>
    <w:unhideWhenUsed/>
    <w:rsid w:val="00967024"/>
    <w:rPr>
      <w:b/>
      <w:bCs/>
    </w:rPr>
  </w:style>
  <w:style w:type="character" w:customStyle="1" w:styleId="ObjetducommentaireCar">
    <w:name w:val="Objet du commentaire Car"/>
    <w:basedOn w:val="CommentaireCar"/>
    <w:link w:val="Objetducommentaire"/>
    <w:uiPriority w:val="99"/>
    <w:semiHidden/>
    <w:rsid w:val="00967024"/>
    <w:rPr>
      <w:b/>
      <w:bCs/>
      <w:sz w:val="20"/>
      <w:szCs w:val="20"/>
    </w:rPr>
  </w:style>
  <w:style w:type="character" w:styleId="Lienhypertexte">
    <w:name w:val="Hyperlink"/>
    <w:basedOn w:val="Policepardfaut"/>
    <w:uiPriority w:val="99"/>
    <w:unhideWhenUsed/>
    <w:rsid w:val="006912F2"/>
    <w:rPr>
      <w:rFonts w:cs="Times New Roman"/>
      <w:color w:val="0000FF" w:themeColor="hyperlink"/>
      <w:u w:val="single"/>
    </w:rPr>
  </w:style>
  <w:style w:type="paragraph" w:styleId="Rvision">
    <w:name w:val="Revision"/>
    <w:hidden/>
    <w:uiPriority w:val="99"/>
    <w:semiHidden/>
    <w:rsid w:val="00A6395D"/>
    <w:pPr>
      <w:spacing w:line="240" w:lineRule="auto"/>
    </w:pPr>
  </w:style>
  <w:style w:type="character" w:styleId="Mentionnonrsolue">
    <w:name w:val="Unresolved Mention"/>
    <w:basedOn w:val="Policepardfaut"/>
    <w:uiPriority w:val="99"/>
    <w:semiHidden/>
    <w:unhideWhenUsed/>
    <w:rsid w:val="006A089C"/>
    <w:rPr>
      <w:color w:val="605E5C"/>
      <w:shd w:val="clear" w:color="auto" w:fill="E1DFDD"/>
    </w:rPr>
  </w:style>
  <w:style w:type="character" w:styleId="Lienhypertextesuivivisit">
    <w:name w:val="FollowedHyperlink"/>
    <w:basedOn w:val="Policepardfaut"/>
    <w:uiPriority w:val="99"/>
    <w:semiHidden/>
    <w:unhideWhenUsed/>
    <w:rsid w:val="002600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3828">
      <w:bodyDiv w:val="1"/>
      <w:marLeft w:val="0"/>
      <w:marRight w:val="0"/>
      <w:marTop w:val="0"/>
      <w:marBottom w:val="0"/>
      <w:divBdr>
        <w:top w:val="none" w:sz="0" w:space="0" w:color="auto"/>
        <w:left w:val="none" w:sz="0" w:space="0" w:color="auto"/>
        <w:bottom w:val="none" w:sz="0" w:space="0" w:color="auto"/>
        <w:right w:val="none" w:sz="0" w:space="0" w:color="auto"/>
      </w:divBdr>
    </w:div>
    <w:div w:id="35966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mchamfranc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xn--saroessec-t1a.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mchamfrance.org/wp-content/uploads/2023/03/AI-White-Paper-14-Mars-2022-2_compressed.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talab.essec.edu/" TargetMode="External"/><Relationship Id="rId4" Type="http://schemas.openxmlformats.org/officeDocument/2006/relationships/webSettings" Target="webSettings.xml"/><Relationship Id="rId9" Type="http://schemas.openxmlformats.org/officeDocument/2006/relationships/hyperlink" Target="https://amchamfrance.org/" TargetMode="External"/><Relationship Id="rId14" Type="http://schemas.openxmlformats.org/officeDocument/2006/relationships/hyperlink" Target="http://www.esse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8Tqh6WLGfPc3sez5/dc/QEJV9w==">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1383</Words>
  <Characters>7608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 Marie-Caroline - B00803404</dc:creator>
  <cp:lastModifiedBy>Laura DELAUNAY</cp:lastModifiedBy>
  <cp:revision>2</cp:revision>
  <dcterms:created xsi:type="dcterms:W3CDTF">2023-03-14T10:30:00Z</dcterms:created>
  <dcterms:modified xsi:type="dcterms:W3CDTF">2023-03-14T10:30:00Z</dcterms:modified>
</cp:coreProperties>
</file>